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24"/>
          <w:szCs w:val="24"/>
        </w:rPr>
      </w:pPr>
      <w:r w:rsidDel="00000000" w:rsidR="00000000" w:rsidRPr="00000000">
        <w:rPr>
          <w:b w:val="1"/>
          <w:bCs w:val="1"/>
          <w:sz w:val="24"/>
          <w:szCs w:val="24"/>
          <w:rtl w:val="0"/>
        </w:rPr>
        <w:t xml:space="preserve">Stát získá podrobné údaje o kryptoměnových investorech. ČKMA žádá jasná pravidla jejich ochrany</w:t>
      </w:r>
    </w:p>
    <w:p w:rsidR="00000000" w:rsidDel="00000000" w:rsidP="00000000" w:rsidRDefault="00000000" w:rsidRPr="00000000" w14:paraId="00000002">
      <w:pPr>
        <w:spacing w:after="240" w:before="240" w:lineRule="auto"/>
        <w:jc w:val="both"/>
        <w:rPr>
          <w:b w:val="1"/>
          <w:bCs w:val="1"/>
        </w:rPr>
      </w:pPr>
      <w:r w:rsidDel="00000000" w:rsidR="00000000" w:rsidRPr="00000000">
        <w:rPr>
          <w:b w:val="1"/>
          <w:bCs w:val="1"/>
          <w:rtl w:val="0"/>
        </w:rPr>
        <w:t xml:space="preserve">Česká kryptoměnová asociace upozorňuje na rizika spojená se zaváděním evropské směrnice DAC8. Kryptoburzy a směnárny budou Finanční správě pravidelně předávat údaje o svých klientech a jejich transakcích. Stát tak získá možnost spojit jméno a bydliště člověka s několikaletou historií jeho obchodování napříč poskytovateli. Podle ČKMA návrh zákona dostatečně neřeší, kdo bude moci tyto informace spojovat a prohlížet, jak se přístupy zkontrolují a kdy stát údaje vymaže. Asociace žádá doplnění těchto pravidel ještě před schválením zákona.</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Praha, 1. října 2026, DAC8 má daňovým úřadům usnadnit kontrolu obchodování s kryptoměnami a výměnu informací mezi státy. Pro kryptoburzy a další poskytovatele znamená povinnost zjišťovat daňové údaje klientů, připravovat roční hlášení a uchovávat související doklady. Firmy budou muset upravit své systémy i postupy komunikace se zákazníky.</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Investorům přibude povinnost dodat potřebné údaje, například o daňové rezidenci. Pokud klient neposkytne požadovanou součinnost ani po dvou upomínkách a uplynutí zákonné šedesátidenní lhůty, poskytovatel mu podle návrhu neumožní nákup, prodej ani převod kryptoaktiv, dokud údaje nedoplní..</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„Zákon poměrně přesně říká, co musí odevzdat firma a její zákazník. Stejně přesně musí říct, co s těmito údaji smí dělat stát. Povinnost poskytovat citlivé informace musí doprovázet kontrola toho, kdo je používá a proč,“ říká Štěpán Kouba, prezident České kryptoměnové asociace.</w:t>
      </w:r>
    </w:p>
    <w:p w:rsidR="00000000" w:rsidDel="00000000" w:rsidP="00000000" w:rsidRDefault="00000000" w:rsidRPr="00000000" w14:paraId="00000006">
      <w:pPr>
        <w:spacing w:after="240" w:before="240" w:lineRule="auto"/>
        <w:jc w:val="both"/>
        <w:rPr>
          <w:b w:val="1"/>
          <w:bCs w:val="1"/>
        </w:rPr>
      </w:pPr>
      <w:r w:rsidDel="00000000" w:rsidR="00000000" w:rsidRPr="00000000">
        <w:rPr>
          <w:rtl w:val="0"/>
        </w:rPr>
        <w:t xml:space="preserve">Hlášení nebude přesným seznamem toho, kolik kryptoměn člověk právě vlastní. Obsahuje zejména roční souhrny nákupů, prodejů a převodů. </w:t>
      </w:r>
      <w:r w:rsidDel="00000000" w:rsidR="00000000" w:rsidRPr="00000000">
        <w:rPr>
          <w:b w:val="1"/>
          <w:bCs w:val="1"/>
          <w:rtl w:val="0"/>
        </w:rPr>
        <w:t xml:space="preserve">Studie připravená Janem Šinclem pod záštitou ČKMA ale upozorňuje, že spojením záznamů od různých poskytovatelů za několik let vzniká podrobný obraz finanční aktivity člověka. Případné zneužití proto může odhalit výrazně více než únik od jednoho z poskytovatelů.</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Rizikem přitom není pouze napadení systému zvenčí. Citlivé informace může zneužít také člověk, který do databáze smí vstupovat, ale vyhledá si údaje bez pracovního důvodu. Samotné zabezpečení proti hackerům proto nestačí. Jednou uniklou finanční historii navíc nelze změnit jako heslo.</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Právě zde vidí ČKMA zásadní slabinu návrhu. Podle studie vládní hodnocení dopadů dostatečně neposoudilo rizika spojování dat ani bezpečnější možnosti jejich uložení a využívání. </w:t>
      </w:r>
      <w:r w:rsidDel="00000000" w:rsidR="00000000" w:rsidRPr="00000000">
        <w:rPr>
          <w:b w:val="1"/>
          <w:bCs w:val="1"/>
          <w:rtl w:val="0"/>
        </w:rPr>
        <w:t xml:space="preserve">Základní pravidla ochrany proto mají být přímo v zákoně: za jakým účelem lze údaje vyhledávat a spojovat, jak se zaznamená a zkontroluje každý přístup a kdy budou data vymazána</w:t>
      </w:r>
      <w:r w:rsidDel="00000000" w:rsidR="00000000" w:rsidRPr="00000000">
        <w:rPr>
          <w:rtl w:val="0"/>
        </w:rPr>
        <w:t xml:space="preserve">. Pokud tyto hranice stanoví pouze interní pravidla, může je úřad sám změnit. Zákonné záruky dávají občanům pevnější oporu pro obranu proti neoprávněnému nakládání s jejich údaji a úřadům jasné meze. Konkrétní technické zabezpečení pak může upravit provozovatel systému.</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ČKMA navrhuje, aby stát přijal všechny povinné údaje, ale nejcitlivější informace o převodech uchovával odděleně. Jejich spojení s dalšími záznamy má být možné jen pro konkrétní řízení nebo jiný doložený zákonný účel. Každé nahlédnutí musí zanechat záznam o tom, kdo, kdy a proč údaje otevřel. Systém má upozorňovat na neobvyklé dotazy a vyžadovat souhlas druhého oprávněného pracovníka při citlivých exportech dat. Občan má mít možnost zjistit, kdo s jeho údaji pracoval, pokud tím nebude ohroženo probíhající řízení.</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Tyto principy lze zakotvit do projednávaného zákona a následně promítnout do fungování databáze. ČKMA podporuje návrh Miroslava Ševčíka na zaznamenávání přístupů a jejich kontrolu i návrh Jiřího Havránka, který mimo jiné zkracuje uchovávání dokladů u poskytovatelů z deseti na pět let a vypouští místo narození. Samostatně žádá jasnou lhůtu uchovávání a výmazu údajů u státu. Před spuštěním by měl ochranu systému prověřit nezávislý audit.</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Podle ČKMA jde také o ústavní právo na soukromí a ochranu osobních údajů. </w:t>
      </w:r>
      <w:r w:rsidDel="00000000" w:rsidR="00000000" w:rsidRPr="00000000">
        <w:rPr>
          <w:b w:val="1"/>
          <w:bCs w:val="1"/>
          <w:rtl w:val="0"/>
        </w:rPr>
        <w:t xml:space="preserve">Ústavní soud opakovaně zdůraznil, že ani oprávněný zájem státu neopravňuje k neomezenému shromažďování a využívání informací o občanech.</w:t>
      </w:r>
      <w:r w:rsidDel="00000000" w:rsidR="00000000" w:rsidRPr="00000000">
        <w:rPr>
          <w:rtl w:val="0"/>
        </w:rPr>
        <w:t xml:space="preserve"> Rozhodující jsou jasná pravidla přístupu, kontroly a výmazu dat. Pokud lze stejného daňového cíle dosáhnout s menším zásahem do soukromí, musí stát vysvětlit, proč volí širší přístup k údajům. Asociace netvrdí, že je návrh protiústavní. Upozorňuje však, že chybějící záruky mohou otevřít prostor pro ústavní přezkum, a žádá jejich doplnění přímo do zákona.</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„Evropská pravidla musíme splnit. Ochranu lidí ale můžeme zlepšit už teď. Potřebujeme zákon, podle kterého bude každý přístup dohledatelný, každé použití údajů odůvodněné a jejich uchovávání časově omezené. Tyto záruky mají být připravené dřív, než se databáze začne plnit,“ uzavírá Štěpán Kouba.</w:t>
      </w:r>
    </w:p>
    <w:p w:rsidR="00000000" w:rsidDel="00000000" w:rsidP="00000000" w:rsidRDefault="00000000" w:rsidRPr="00000000" w14:paraId="0000000D">
      <w:pPr>
        <w:rPr>
          <w:b w:val="1"/>
          <w:bCs w:val="1"/>
        </w:rPr>
      </w:pPr>
      <w:r w:rsidDel="00000000" w:rsidR="00000000" w:rsidRPr="00000000">
        <w:rPr>
          <w:b w:val="1"/>
          <w:bCs w:val="1"/>
          <w:rtl w:val="0"/>
        </w:rPr>
        <w:t xml:space="preserve">Kontakt:</w:t>
      </w:r>
    </w:p>
    <w:p w:rsidR="00000000" w:rsidDel="00000000" w:rsidP="00000000" w:rsidRDefault="00000000" w:rsidRPr="00000000" w14:paraId="0000000E">
      <w:pPr>
        <w:rPr>
          <w:b w:val="1"/>
          <w:bCs w:val="1"/>
        </w:rPr>
      </w:pPr>
      <w:r w:rsidDel="00000000" w:rsidR="00000000" w:rsidRPr="00000000">
        <w:rPr>
          <w:b w:val="1"/>
          <w:bCs w:val="1"/>
          <w:rtl w:val="0"/>
        </w:rPr>
        <w:t xml:space="preserve">Jan Hostinský</w:t>
      </w:r>
    </w:p>
    <w:p w:rsidR="00000000" w:rsidDel="00000000" w:rsidP="00000000" w:rsidRDefault="00000000" w:rsidRPr="00000000" w14:paraId="0000000F">
      <w:pPr>
        <w:rPr>
          <w:b w:val="1"/>
          <w:bCs w:val="1"/>
        </w:rPr>
      </w:pPr>
      <w:r w:rsidDel="00000000" w:rsidR="00000000" w:rsidRPr="00000000">
        <w:rPr>
          <w:b w:val="1"/>
          <w:bCs w:val="1"/>
          <w:rtl w:val="0"/>
        </w:rPr>
        <w:t xml:space="preserve">+420608280640</w:t>
      </w:r>
    </w:p>
    <w:p w:rsidR="00000000" w:rsidDel="00000000" w:rsidP="00000000" w:rsidRDefault="00000000" w:rsidRPr="00000000" w14:paraId="00000010">
      <w:pPr>
        <w:rPr>
          <w:b w:val="1"/>
          <w:bCs w:val="1"/>
        </w:rPr>
      </w:pPr>
      <w:hyperlink r:id="rId6">
        <w:r w:rsidDel="00000000" w:rsidR="00000000" w:rsidRPr="00000000">
          <w:rPr>
            <w:b w:val="1"/>
            <w:bCs w:val="1"/>
            <w:color w:val="1155cc"/>
            <w:u w:val="single"/>
            <w:rtl w:val="0"/>
          </w:rPr>
          <w:t xml:space="preserve">hostinsky@unitfunction.cz</w:t>
        </w:r>
      </w:hyperlink>
      <w:r w:rsidDel="00000000" w:rsidR="00000000" w:rsidRPr="00000000">
        <w:rPr>
          <w:b w:val="1"/>
          <w:bCs w:val="1"/>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ostinsky@unitfunction.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